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bookmarkStart w:id="0" w:name="_GoBack"/>
      <w:bookmarkEnd w:id="0"/>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3.2.</w:t>
      </w:r>
      <w:r w:rsidR="00264676">
        <w:rPr>
          <w:rFonts w:ascii="Arial" w:eastAsia="Times New Roman" w:hAnsi="Arial" w:cs="Arial"/>
          <w:b/>
          <w:color w:val="000000"/>
          <w:sz w:val="18"/>
          <w:szCs w:val="18"/>
          <w:lang w:eastAsia="fr-FR"/>
        </w:rPr>
        <w:t>2</w:t>
      </w:r>
      <w:r w:rsidR="00BC127D">
        <w:rPr>
          <w:rFonts w:ascii="Arial" w:eastAsia="Times New Roman" w:hAnsi="Arial" w:cs="Arial"/>
          <w:b/>
          <w:color w:val="000000"/>
          <w:sz w:val="18"/>
          <w:szCs w:val="18"/>
          <w:lang w:eastAsia="fr-FR"/>
        </w:rPr>
        <w:t>2</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mur avec </w:t>
      </w:r>
      <w:r w:rsidR="00077D9F">
        <w:rPr>
          <w:rFonts w:ascii="Arial" w:eastAsia="Times New Roman" w:hAnsi="Arial" w:cs="Arial"/>
          <w:b/>
          <w:color w:val="000000"/>
          <w:sz w:val="20"/>
          <w:szCs w:val="20"/>
          <w:lang w:eastAsia="fr-FR"/>
        </w:rPr>
        <w:t>enduit de f</w:t>
      </w:r>
      <w:r w:rsidR="00BC127D">
        <w:rPr>
          <w:rFonts w:ascii="Arial" w:eastAsia="Times New Roman" w:hAnsi="Arial" w:cs="Arial"/>
          <w:b/>
          <w:color w:val="000000"/>
          <w:sz w:val="20"/>
          <w:szCs w:val="20"/>
          <w:lang w:eastAsia="fr-FR"/>
        </w:rPr>
        <w:t>inition (type de finition au choix)</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Pr="003B75B5">
        <w:rPr>
          <w:rFonts w:ascii="Arial" w:eastAsia="Times New Roman" w:hAnsi="Arial" w:cs="Arial"/>
          <w:color w:val="000000"/>
          <w:sz w:val="18"/>
          <w:szCs w:val="18"/>
          <w:lang w:eastAsia="fr-FR"/>
        </w:rPr>
        <w:t xml:space="preserve">56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C12CCD">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C12CCD">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C12CCD">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w:t>
      </w:r>
      <w:r w:rsidR="000F4FC0">
        <w:rPr>
          <w:rFonts w:ascii="Arial" w:eastAsia="Times New Roman" w:hAnsi="Arial" w:cs="Arial"/>
          <w:color w:val="000000" w:themeColor="text1"/>
          <w:sz w:val="18"/>
          <w:szCs w:val="18"/>
          <w:lang w:eastAsia="fr-FR"/>
        </w:rPr>
        <w:t>e les</w:t>
      </w:r>
      <w:r>
        <w:rPr>
          <w:rFonts w:ascii="Arial" w:eastAsia="Times New Roman" w:hAnsi="Arial" w:cs="Arial"/>
          <w:color w:val="000000" w:themeColor="text1"/>
          <w:sz w:val="18"/>
          <w:szCs w:val="18"/>
          <w:lang w:eastAsia="fr-FR"/>
        </w:rPr>
        <w:t xml:space="preserve"> exécution</w:t>
      </w:r>
      <w:r w:rsidR="000F4FC0">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impeccable</w:t>
      </w:r>
      <w:r w:rsidR="000F4FC0">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 xml:space="preserve"> de l’isolation et de l’enduit </w:t>
      </w:r>
      <w:r w:rsidR="00C12CCD">
        <w:rPr>
          <w:rFonts w:ascii="Arial" w:eastAsia="Times New Roman" w:hAnsi="Arial" w:cs="Arial"/>
          <w:color w:val="000000" w:themeColor="text1"/>
          <w:sz w:val="18"/>
          <w:szCs w:val="18"/>
          <w:lang w:eastAsia="fr-FR"/>
        </w:rPr>
        <w:t>puissent</w:t>
      </w:r>
      <w:r>
        <w:rPr>
          <w:rFonts w:ascii="Arial" w:eastAsia="Times New Roman" w:hAnsi="Arial" w:cs="Arial"/>
          <w:color w:val="000000" w:themeColor="text1"/>
          <w:sz w:val="18"/>
          <w:szCs w:val="18"/>
          <w:lang w:eastAsia="fr-FR"/>
        </w:rPr>
        <w:t xml:space="preserve"> être garantie</w:t>
      </w:r>
      <w:r w:rsidR="00AA769D">
        <w:rPr>
          <w:rFonts w:ascii="Arial" w:eastAsia="Times New Roman" w:hAnsi="Arial" w:cs="Arial"/>
          <w:color w:val="000000" w:themeColor="text1"/>
          <w:sz w:val="18"/>
          <w:szCs w:val="18"/>
          <w:lang w:eastAsia="fr-FR"/>
        </w:rPr>
        <w:t>s</w:t>
      </w:r>
      <w:r>
        <w:rPr>
          <w:rFonts w:ascii="Arial" w:eastAsia="Times New Roman" w:hAnsi="Arial" w:cs="Arial"/>
          <w:color w:val="000000" w:themeColor="text1"/>
          <w:sz w:val="18"/>
          <w:szCs w:val="18"/>
          <w:lang w:eastAsia="fr-FR"/>
        </w:rPr>
        <w:t>.</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C12CCD"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C12CCD"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C12CCD"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C12CCD"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C12CCD"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C12CCD"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C12CCD"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C12CCD"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C12CCD"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C12CCD">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C12CCD"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proofErr w:type="gramStart"/>
            <w:r w:rsidRPr="00055732">
              <w:rPr>
                <w:rFonts w:ascii="Arial" w:eastAsia="Times New Roman" w:hAnsi="Arial" w:cs="Arial"/>
                <w:sz w:val="18"/>
                <w:szCs w:val="18"/>
                <w:lang w:eastAsia="fr-FR"/>
              </w:rPr>
              <w:t>.:</w:t>
            </w:r>
            <w:proofErr w:type="gramEnd"/>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C12CCD"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C12CCD">
        <w:rPr>
          <w:rFonts w:ascii="Arial" w:eastAsia="Times New Roman" w:hAnsi="Arial" w:cs="Arial"/>
          <w:b/>
          <w:color w:val="000000"/>
          <w:sz w:val="18"/>
          <w:szCs w:val="18"/>
          <w:lang w:eastAsia="fr-FR"/>
        </w:rPr>
        <w:t>support</w:t>
      </w:r>
      <w:r w:rsidR="00C12CCD"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Un vernis d’adhérence </w:t>
      </w:r>
      <w:r w:rsidRPr="003B75B5">
        <w:rPr>
          <w:rFonts w:ascii="Arial" w:hAnsi="Arial" w:cs="Arial"/>
          <w:color w:val="000000" w:themeColor="text1"/>
          <w:sz w:val="18"/>
          <w:szCs w:val="18"/>
        </w:rPr>
        <w:t>(</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EM ou émulsion de</w:t>
      </w:r>
      <w:r w:rsidR="00E469CB">
        <w:rPr>
          <w:rFonts w:ascii="Arial" w:hAnsi="Arial" w:cs="Arial"/>
          <w:color w:val="000000" w:themeColor="text1"/>
          <w:sz w:val="18"/>
          <w:szCs w:val="18"/>
        </w:rPr>
        <w:t xml:space="preserve"> </w:t>
      </w:r>
      <w:r w:rsidR="00E469CB" w:rsidRPr="003B75B5">
        <w:rPr>
          <w:rFonts w:ascii="Arial" w:eastAsia="Times New Roman" w:hAnsi="Arial" w:cs="Arial"/>
          <w:sz w:val="18"/>
          <w:szCs w:val="18"/>
          <w:lang w:eastAsia="fr-FR"/>
        </w:rPr>
        <w:t>#</w:t>
      </w:r>
      <w:r w:rsidRPr="003B75B5">
        <w:rPr>
          <w:rFonts w:ascii="Arial" w:hAnsi="Arial" w:cs="Arial"/>
          <w:color w:val="000000" w:themeColor="text1"/>
          <w:sz w:val="18"/>
          <w:szCs w:val="18"/>
        </w:rPr>
        <w:t xml:space="preserve"> 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 xml:space="preserve">56 diluée </w:t>
      </w:r>
      <w:r w:rsidR="00CE3717" w:rsidRPr="003B75B5">
        <w:rPr>
          <w:rFonts w:ascii="Arial" w:hAnsi="Arial" w:cs="Arial"/>
          <w:color w:val="000000" w:themeColor="text1"/>
          <w:sz w:val="18"/>
          <w:szCs w:val="18"/>
        </w:rPr>
        <w:t>à</w:t>
      </w:r>
      <w:r w:rsidRPr="003B75B5">
        <w:rPr>
          <w:rFonts w:ascii="Arial" w:hAnsi="Arial" w:cs="Arial"/>
          <w:color w:val="000000" w:themeColor="text1"/>
          <w:sz w:val="18"/>
          <w:szCs w:val="18"/>
        </w:rPr>
        <w:t xml:space="preserve"> 1/10 dans l’eau)</w:t>
      </w:r>
      <w:r w:rsidRPr="003B75B5">
        <w:rPr>
          <w:rFonts w:ascii="Arial" w:eastAsia="Times New Roman" w:hAnsi="Arial" w:cs="Arial"/>
          <w:color w:val="000000" w:themeColor="text1"/>
          <w:sz w:val="18"/>
          <w:szCs w:val="18"/>
          <w:lang w:eastAsia="fr-FR"/>
        </w:rPr>
        <w:t xml:space="preserve"> sera appliqué au rouleau sur la surface d</w:t>
      </w:r>
      <w:r w:rsidR="00F03B69">
        <w:rPr>
          <w:rFonts w:ascii="Arial" w:eastAsia="Times New Roman" w:hAnsi="Arial" w:cs="Arial"/>
          <w:color w:val="000000" w:themeColor="text1"/>
          <w:sz w:val="18"/>
          <w:szCs w:val="18"/>
          <w:lang w:eastAsia="fr-FR"/>
        </w:rPr>
        <w:t>époussiérée (</w:t>
      </w:r>
      <w:r w:rsidR="00C12CCD">
        <w:rPr>
          <w:rFonts w:ascii="Arial" w:eastAsia="Times New Roman" w:hAnsi="Arial" w:cs="Arial"/>
          <w:color w:val="000000" w:themeColor="text1"/>
          <w:sz w:val="18"/>
          <w:szCs w:val="18"/>
          <w:lang w:eastAsia="fr-FR"/>
        </w:rPr>
        <w:t>consommation :</w:t>
      </w:r>
      <w:r w:rsidR="00F03B69">
        <w:rPr>
          <w:rFonts w:ascii="Arial" w:eastAsia="Times New Roman" w:hAnsi="Arial" w:cs="Arial"/>
          <w:color w:val="000000" w:themeColor="text1"/>
          <w:sz w:val="18"/>
          <w:szCs w:val="18"/>
          <w:lang w:eastAsia="fr-FR"/>
        </w:rPr>
        <w:t xml:space="preserve"> ± 0,</w:t>
      </w:r>
      <w:r w:rsidRPr="003B75B5">
        <w:rPr>
          <w:rFonts w:ascii="Arial" w:eastAsia="Times New Roman" w:hAnsi="Arial" w:cs="Arial"/>
          <w:color w:val="000000" w:themeColor="text1"/>
          <w:sz w:val="18"/>
          <w:szCs w:val="18"/>
          <w:lang w:eastAsia="fr-FR"/>
        </w:rPr>
        <w:t>3 l/m</w:t>
      </w:r>
      <w:r w:rsidRPr="003B75B5">
        <w:rPr>
          <w:rFonts w:ascii="Arial" w:eastAsia="Times New Roman" w:hAnsi="Arial" w:cs="Arial"/>
          <w:color w:val="000000" w:themeColor="text1"/>
          <w:sz w:val="18"/>
          <w:szCs w:val="18"/>
          <w:vertAlign w:val="superscript"/>
          <w:lang w:eastAsia="fr-FR"/>
        </w:rPr>
        <w:t>2</w:t>
      </w:r>
      <w:r w:rsidRPr="003B75B5">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3B75B5">
        <w:rPr>
          <w:rFonts w:ascii="Arial" w:eastAsia="Times New Roman" w:hAnsi="Arial" w:cs="Arial"/>
          <w:color w:val="000000" w:themeColor="text1"/>
          <w:sz w:val="18"/>
          <w:szCs w:val="18"/>
          <w:lang w:eastAsia="fr-FR"/>
        </w:rPr>
        <w:t>.</w:t>
      </w:r>
    </w:p>
    <w:p w:rsidR="00FF0A6F" w:rsidRPr="003B75B5" w:rsidRDefault="00A52CF4"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Une base de départ permanente ho</w:t>
      </w:r>
      <w:r w:rsidR="00F03B69">
        <w:rPr>
          <w:rFonts w:ascii="Arial" w:eastAsia="Times New Roman" w:hAnsi="Arial" w:cs="Arial"/>
          <w:color w:val="000000" w:themeColor="text1"/>
          <w:sz w:val="18"/>
          <w:szCs w:val="18"/>
          <w:lang w:eastAsia="fr-FR"/>
        </w:rPr>
        <w:t xml:space="preserve">rizontale </w:t>
      </w:r>
      <w:r w:rsidRPr="003B75B5">
        <w:rPr>
          <w:rFonts w:ascii="Arial" w:eastAsia="Times New Roman" w:hAnsi="Arial" w:cs="Arial"/>
          <w:color w:val="000000" w:themeColor="text1"/>
          <w:sz w:val="18"/>
          <w:szCs w:val="18"/>
          <w:lang w:eastAsia="fr-FR"/>
        </w:rPr>
        <w:t xml:space="preserve">(servant de support à l’isolation) sera placée en pied de </w:t>
      </w:r>
      <w:r w:rsidR="00C563D5" w:rsidRPr="003B75B5">
        <w:rPr>
          <w:rFonts w:ascii="Arial" w:eastAsia="Times New Roman" w:hAnsi="Arial" w:cs="Arial"/>
          <w:color w:val="000000" w:themeColor="text1"/>
          <w:sz w:val="18"/>
          <w:szCs w:val="18"/>
          <w:lang w:eastAsia="fr-FR"/>
        </w:rPr>
        <w:t>mur</w:t>
      </w:r>
      <w:r w:rsidRPr="003B75B5">
        <w:rPr>
          <w:rFonts w:ascii="Arial" w:eastAsia="Times New Roman" w:hAnsi="Arial" w:cs="Arial"/>
          <w:color w:val="000000" w:themeColor="text1"/>
          <w:sz w:val="18"/>
          <w:szCs w:val="18"/>
          <w:lang w:eastAsia="fr-FR"/>
        </w:rPr>
        <w:t xml:space="preserve"> </w:t>
      </w:r>
      <w:r w:rsidR="00E469CB">
        <w:rPr>
          <w:rFonts w:ascii="Arial" w:eastAsia="Times New Roman" w:hAnsi="Arial" w:cs="Arial"/>
          <w:color w:val="000000" w:themeColor="text1"/>
          <w:sz w:val="18"/>
          <w:szCs w:val="18"/>
          <w:lang w:eastAsia="fr-FR"/>
        </w:rPr>
        <w:t>et</w:t>
      </w:r>
      <w:r w:rsidRPr="003B75B5">
        <w:rPr>
          <w:rFonts w:ascii="Arial" w:eastAsia="Times New Roman" w:hAnsi="Arial" w:cs="Arial"/>
          <w:color w:val="000000" w:themeColor="text1"/>
          <w:sz w:val="18"/>
          <w:szCs w:val="18"/>
          <w:lang w:eastAsia="fr-FR"/>
        </w:rPr>
        <w:t xml:space="preserve"> au-dessus de chaque ouverture.</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C12CCD">
        <w:rPr>
          <w:rFonts w:ascii="Arial" w:eastAsia="Times New Roman" w:hAnsi="Arial" w:cs="Arial"/>
          <w:b/>
          <w:color w:val="000000"/>
          <w:sz w:val="18"/>
          <w:szCs w:val="18"/>
          <w:lang w:eastAsia="fr-FR"/>
        </w:rPr>
        <w:t>ininflammable</w:t>
      </w:r>
      <w:r w:rsidR="00C12CCD" w:rsidRPr="003B75B5">
        <w:rPr>
          <w:rFonts w:ascii="Arial" w:eastAsia="Times New Roman" w:hAnsi="Arial" w:cs="Arial"/>
          <w:b/>
          <w:color w:val="000000"/>
          <w:sz w:val="18"/>
          <w:szCs w:val="18"/>
          <w:lang w:eastAsia="fr-FR"/>
        </w:rPr>
        <w:t xml:space="preserve"> :</w:t>
      </w:r>
    </w:p>
    <w:p w:rsidR="00FF0A6F" w:rsidRPr="003B75B5" w:rsidRDefault="00FF0A6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pose sera conforme aux prescriptions du fabricant.</w:t>
      </w:r>
    </w:p>
    <w:p w:rsidR="005A37BC"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L’encollage se fera à l’aide de la colle bi-composante</w:t>
      </w:r>
      <w:r w:rsidR="00E469CB">
        <w:rPr>
          <w:rFonts w:ascii="Arial" w:eastAsia="Times New Roman" w:hAnsi="Arial" w:cs="Arial"/>
          <w:color w:val="000000" w:themeColor="text1"/>
          <w:sz w:val="18"/>
          <w:szCs w:val="18"/>
          <w:lang w:eastAsia="fr-FR"/>
        </w:rPr>
        <w:t xml:space="preserve"> (</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56</w:t>
      </w:r>
      <w:r w:rsidR="00E469CB">
        <w:rPr>
          <w:rFonts w:ascii="Arial" w:hAnsi="Arial" w:cs="Arial"/>
          <w:color w:val="000000" w:themeColor="text1"/>
          <w:sz w:val="18"/>
          <w:szCs w:val="18"/>
        </w:rPr>
        <w:t>)</w:t>
      </w:r>
      <w:r w:rsidRPr="003B75B5">
        <w:rPr>
          <w:rFonts w:ascii="Arial" w:hAnsi="Arial" w:cs="Arial"/>
          <w:color w:val="000000" w:themeColor="text1"/>
          <w:sz w:val="18"/>
          <w:szCs w:val="18"/>
        </w:rPr>
        <w:t xml:space="preserve"> </w:t>
      </w:r>
      <w:r w:rsidRPr="003B75B5">
        <w:rPr>
          <w:rFonts w:ascii="Arial" w:eastAsia="Times New Roman" w:hAnsi="Arial" w:cs="Arial"/>
          <w:color w:val="000000" w:themeColor="text1"/>
          <w:sz w:val="18"/>
          <w:szCs w:val="18"/>
          <w:lang w:eastAsia="fr-FR"/>
        </w:rPr>
        <w:t xml:space="preserve">spécialement adapté à cet usage. La température ambiante et du </w:t>
      </w:r>
      <w:r w:rsidR="00C12CCD" w:rsidRPr="003B75B5">
        <w:rPr>
          <w:rFonts w:ascii="Arial" w:eastAsia="Times New Roman" w:hAnsi="Arial" w:cs="Arial"/>
          <w:color w:val="000000" w:themeColor="text1"/>
          <w:sz w:val="18"/>
          <w:szCs w:val="18"/>
          <w:lang w:eastAsia="fr-FR"/>
        </w:rPr>
        <w:t>support ne</w:t>
      </w:r>
      <w:r w:rsidRPr="003B75B5">
        <w:rPr>
          <w:rFonts w:ascii="Arial" w:eastAsia="Times New Roman" w:hAnsi="Arial" w:cs="Arial"/>
          <w:color w:val="000000" w:themeColor="text1"/>
          <w:sz w:val="18"/>
          <w:szCs w:val="18"/>
          <w:lang w:eastAsia="fr-FR"/>
        </w:rPr>
        <w:t xml:space="preserve"> sera pas inférieure à 5°C</w:t>
      </w:r>
      <w:r w:rsidR="000B64E3" w:rsidRPr="003B75B5">
        <w:rPr>
          <w:rFonts w:ascii="Arial" w:eastAsia="Times New Roman" w:hAnsi="Arial" w:cs="Arial"/>
          <w:color w:val="000000" w:themeColor="text1"/>
          <w:sz w:val="18"/>
          <w:szCs w:val="18"/>
          <w:lang w:eastAsia="fr-FR"/>
        </w:rPr>
        <w:t>.</w:t>
      </w:r>
    </w:p>
    <w:p w:rsidR="00A43640" w:rsidRDefault="007B5792"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La colle à froid </w:t>
      </w:r>
      <w:r w:rsidR="001A2C2B" w:rsidRPr="003B75B5">
        <w:rPr>
          <w:rFonts w:ascii="Arial" w:eastAsia="Times New Roman" w:hAnsi="Arial" w:cs="Arial"/>
          <w:color w:val="000000" w:themeColor="text1"/>
          <w:sz w:val="18"/>
          <w:szCs w:val="18"/>
          <w:lang w:eastAsia="fr-FR"/>
        </w:rPr>
        <w:t xml:space="preserve">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w:t>
      </w:r>
      <w:r w:rsidR="001A2C2B" w:rsidRPr="003B75B5">
        <w:rPr>
          <w:rFonts w:ascii="Arial" w:eastAsia="Times New Roman" w:hAnsi="Arial" w:cs="Arial"/>
          <w:color w:val="000000" w:themeColor="text1"/>
          <w:sz w:val="18"/>
          <w:szCs w:val="18"/>
          <w:lang w:eastAsia="fr-FR"/>
        </w:rPr>
        <w:lastRenderedPageBreak/>
        <w:t>sur la face supérieure. L’excédent de colle sera enlevé avec une truelle après séchage partiel</w:t>
      </w:r>
      <w:r w:rsidR="00A43640">
        <w:rPr>
          <w:rFonts w:ascii="Arial" w:eastAsia="Times New Roman" w:hAnsi="Arial" w:cs="Arial"/>
          <w:color w:val="000000" w:themeColor="text1"/>
          <w:sz w:val="18"/>
          <w:szCs w:val="18"/>
          <w:lang w:eastAsia="fr-FR"/>
        </w:rPr>
        <w:t xml:space="preserve"> (ne pas étaler sur la surface visible de l’isolation.</w:t>
      </w:r>
    </w:p>
    <w:p w:rsidR="005A37BC" w:rsidRDefault="00E469CB"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w:t>
      </w:r>
      <w:r w:rsidR="00A43640">
        <w:rPr>
          <w:rFonts w:ascii="Arial" w:eastAsia="Times New Roman" w:hAnsi="Arial" w:cs="Arial"/>
          <w:color w:val="000000" w:themeColor="text1"/>
          <w:sz w:val="18"/>
          <w:szCs w:val="18"/>
          <w:lang w:eastAsia="fr-FR"/>
        </w:rPr>
        <w:t>C</w:t>
      </w:r>
      <w:r w:rsidR="00637051">
        <w:rPr>
          <w:rFonts w:ascii="Arial" w:eastAsia="Times New Roman" w:hAnsi="Arial" w:cs="Arial"/>
          <w:color w:val="000000" w:themeColor="text1"/>
          <w:sz w:val="18"/>
          <w:szCs w:val="18"/>
          <w:lang w:eastAsia="fr-FR"/>
        </w:rPr>
        <w:t xml:space="preserve">onsommation de </w:t>
      </w:r>
      <w:r w:rsidR="00C12CCD">
        <w:rPr>
          <w:rFonts w:ascii="Arial" w:eastAsia="Times New Roman" w:hAnsi="Arial" w:cs="Arial"/>
          <w:color w:val="000000" w:themeColor="text1"/>
          <w:sz w:val="18"/>
          <w:szCs w:val="18"/>
          <w:lang w:eastAsia="fr-FR"/>
        </w:rPr>
        <w:t>colle</w:t>
      </w:r>
      <w:r w:rsidR="00C12CCD" w:rsidRPr="003B75B5">
        <w:rPr>
          <w:rFonts w:ascii="Arial" w:eastAsia="Times New Roman" w:hAnsi="Arial" w:cs="Arial"/>
          <w:color w:val="000000" w:themeColor="text1"/>
          <w:sz w:val="18"/>
          <w:szCs w:val="18"/>
          <w:lang w:eastAsia="fr-FR"/>
        </w:rPr>
        <w:t xml:space="preserve"> :</w:t>
      </w:r>
      <w:r w:rsidR="001A2C2B" w:rsidRPr="003B75B5">
        <w:rPr>
          <w:rFonts w:ascii="Arial" w:eastAsia="Times New Roman" w:hAnsi="Arial" w:cs="Arial"/>
          <w:color w:val="000000" w:themeColor="text1"/>
          <w:sz w:val="18"/>
          <w:szCs w:val="18"/>
          <w:lang w:eastAsia="fr-FR"/>
        </w:rPr>
        <w:t xml:space="preserve"> ± 3,5 kg/m</w:t>
      </w:r>
      <w:r w:rsidR="001A2C2B" w:rsidRPr="003B75B5">
        <w:rPr>
          <w:rFonts w:ascii="Arial" w:eastAsia="Times New Roman" w:hAnsi="Arial" w:cs="Arial"/>
          <w:color w:val="000000" w:themeColor="text1"/>
          <w:sz w:val="18"/>
          <w:szCs w:val="18"/>
          <w:vertAlign w:val="superscript"/>
          <w:lang w:eastAsia="fr-FR"/>
        </w:rPr>
        <w:t>2</w:t>
      </w:r>
      <w:r w:rsidR="001A2C2B" w:rsidRPr="003B75B5">
        <w:rPr>
          <w:rFonts w:ascii="Arial" w:eastAsia="Times New Roman" w:hAnsi="Arial" w:cs="Arial"/>
          <w:color w:val="000000" w:themeColor="text1"/>
          <w:sz w:val="18"/>
          <w:szCs w:val="18"/>
          <w:lang w:eastAsia="fr-FR"/>
        </w:rPr>
        <w:t xml:space="preserve"> pour une isolation de 10 cm d’épaisseur)</w:t>
      </w:r>
    </w:p>
    <w:p w:rsidR="00A43640" w:rsidRPr="00066F3A" w:rsidRDefault="00A43640"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Si la hauteur est &gt;2.50m : les plaques d’isolation devront être fixé mécaniquement sur tout la surface à l’aide </w:t>
      </w:r>
      <w:r w:rsidR="00066F3A">
        <w:rPr>
          <w:rFonts w:ascii="Arial" w:eastAsia="Times New Roman" w:hAnsi="Arial" w:cs="Arial"/>
          <w:color w:val="000000" w:themeColor="text1"/>
          <w:sz w:val="18"/>
          <w:szCs w:val="18"/>
          <w:lang w:eastAsia="fr-FR"/>
        </w:rPr>
        <w:t xml:space="preserve">d’ancrage-F, fixation en acier inoxydable sans pont thermique </w:t>
      </w:r>
      <w:r w:rsidR="00066F3A" w:rsidRPr="00066F3A">
        <w:rPr>
          <w:rFonts w:ascii="Arial" w:eastAsia="Times New Roman" w:hAnsi="Arial" w:cs="Arial"/>
          <w:color w:val="000000" w:themeColor="text1"/>
          <w:sz w:val="18"/>
          <w:szCs w:val="18"/>
          <w:lang w:eastAsia="fr-FR"/>
        </w:rPr>
        <w:t xml:space="preserve">(# ancrage- PC® F) (2pces/m²). </w:t>
      </w:r>
      <w:r w:rsidR="00C12CCD" w:rsidRPr="00066F3A">
        <w:rPr>
          <w:rFonts w:ascii="Arial" w:eastAsia="Times New Roman" w:hAnsi="Arial" w:cs="Arial"/>
          <w:color w:val="000000" w:themeColor="text1"/>
          <w:sz w:val="18"/>
          <w:szCs w:val="18"/>
          <w:lang w:eastAsia="fr-FR"/>
        </w:rPr>
        <w:t>Ces</w:t>
      </w:r>
      <w:r w:rsidR="00066F3A" w:rsidRPr="00066F3A">
        <w:rPr>
          <w:rFonts w:ascii="Arial" w:eastAsia="Times New Roman" w:hAnsi="Arial" w:cs="Arial"/>
          <w:color w:val="000000" w:themeColor="text1"/>
          <w:sz w:val="18"/>
          <w:szCs w:val="18"/>
          <w:lang w:eastAsia="fr-FR"/>
        </w:rPr>
        <w:t xml:space="preserve"> ancrages sont </w:t>
      </w:r>
      <w:r w:rsidR="00C12CCD" w:rsidRPr="00066F3A">
        <w:rPr>
          <w:rFonts w:ascii="Arial" w:eastAsia="Times New Roman" w:hAnsi="Arial" w:cs="Arial"/>
          <w:color w:val="000000" w:themeColor="text1"/>
          <w:sz w:val="18"/>
          <w:szCs w:val="18"/>
          <w:lang w:eastAsia="fr-FR"/>
        </w:rPr>
        <w:t>mis</w:t>
      </w:r>
      <w:r w:rsidR="00066F3A" w:rsidRPr="00066F3A">
        <w:rPr>
          <w:rFonts w:ascii="Arial" w:eastAsia="Times New Roman" w:hAnsi="Arial" w:cs="Arial"/>
          <w:color w:val="000000" w:themeColor="text1"/>
          <w:sz w:val="18"/>
          <w:szCs w:val="18"/>
          <w:lang w:eastAsia="fr-FR"/>
        </w:rPr>
        <w:t xml:space="preserve"> en œuvre simultanément à la pose de l’isolation.</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A7242A" w:rsidRDefault="00066F3A" w:rsidP="003B75B5">
      <w:pPr>
        <w:spacing w:line="240" w:lineRule="auto"/>
        <w:rPr>
          <w:rFonts w:ascii="Arial" w:eastAsia="Times New Roman" w:hAnsi="Arial" w:cs="Arial"/>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C12CCD">
        <w:rPr>
          <w:rFonts w:ascii="Arial" w:eastAsia="Times New Roman" w:hAnsi="Arial" w:cs="Arial"/>
          <w:color w:val="000000" w:themeColor="text1"/>
          <w:sz w:val="18"/>
          <w:szCs w:val="18"/>
          <w:lang w:eastAsia="fr-FR"/>
        </w:rPr>
        <w:t>consommation</w:t>
      </w:r>
      <w:r w:rsidR="00C12CCD"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w:t>
      </w:r>
      <w:r>
        <w:rPr>
          <w:rFonts w:ascii="Arial" w:eastAsia="Times New Roman" w:hAnsi="Arial" w:cs="Arial"/>
          <w:color w:val="000000" w:themeColor="text1"/>
          <w:sz w:val="18"/>
          <w:szCs w:val="18"/>
          <w:lang w:eastAsia="fr-FR"/>
        </w:rPr>
        <w:t xml:space="preserve"> Dans façon très ponctuelle, il est possible, si nécessaire, d’aplanir la surface à l’aide de l’enduit de fond avec une épaisseur minimum de 3mm et maximum de 12 mm</w:t>
      </w:r>
    </w:p>
    <w:p w:rsidR="00066F3A"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treillis d’armature résistant aux alcalis </w:t>
      </w:r>
      <w:r w:rsidR="00B53444">
        <w:rPr>
          <w:rFonts w:ascii="Arial" w:eastAsia="Times New Roman" w:hAnsi="Arial" w:cs="Arial"/>
          <w:color w:val="000000" w:themeColor="text1"/>
          <w:sz w:val="18"/>
          <w:szCs w:val="18"/>
          <w:lang w:eastAsia="fr-FR"/>
        </w:rPr>
        <w:t>(</w:t>
      </w:r>
      <w:r w:rsidR="00B53444">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150</w:t>
      </w:r>
      <w:r w:rsidR="00B53444">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La surface sera égalisée et lissée de manière à ce que le treillis d’armature ne soit plus visible.</w:t>
      </w:r>
    </w:p>
    <w:p w:rsidR="00066F3A" w:rsidRDefault="00066F3A"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w:t>
      </w:r>
      <w:r w:rsidR="00BC127D">
        <w:rPr>
          <w:rFonts w:ascii="Arial" w:eastAsia="Times New Roman" w:hAnsi="Arial" w:cs="Arial"/>
          <w:color w:val="000000" w:themeColor="text1"/>
          <w:sz w:val="18"/>
          <w:szCs w:val="18"/>
          <w:lang w:eastAsia="fr-FR"/>
        </w:rPr>
        <w:t xml:space="preserve"> avant la mise en œuvre de la couche de finition.</w:t>
      </w:r>
    </w:p>
    <w:p w:rsidR="00BC127D" w:rsidRPr="001F6BDC" w:rsidRDefault="00BC127D" w:rsidP="00BC127D">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temps de séchage de </w:t>
      </w:r>
      <w:r>
        <w:rPr>
          <w:rFonts w:ascii="Arial" w:eastAsia="Times New Roman" w:hAnsi="Arial" w:cs="Arial"/>
          <w:color w:val="000000" w:themeColor="text1"/>
          <w:sz w:val="18"/>
          <w:szCs w:val="18"/>
          <w:lang w:eastAsia="fr-FR"/>
        </w:rPr>
        <w:t>3 à 5</w:t>
      </w:r>
      <w:r w:rsidRPr="001F6BDC">
        <w:rPr>
          <w:rFonts w:ascii="Arial" w:eastAsia="Times New Roman" w:hAnsi="Arial" w:cs="Arial"/>
          <w:color w:val="000000" w:themeColor="text1"/>
          <w:sz w:val="18"/>
          <w:szCs w:val="18"/>
          <w:lang w:eastAsia="fr-FR"/>
        </w:rPr>
        <w:t xml:space="preserve"> jours (dépendant de la température et de l’humidité de la pièce) est à respecter avant de débuter la mise en œuvre d</w:t>
      </w:r>
      <w:r>
        <w:rPr>
          <w:rFonts w:ascii="Arial" w:eastAsia="Times New Roman" w:hAnsi="Arial" w:cs="Arial"/>
          <w:color w:val="000000" w:themeColor="text1"/>
          <w:sz w:val="18"/>
          <w:szCs w:val="18"/>
          <w:lang w:eastAsia="fr-FR"/>
        </w:rPr>
        <w:t>e la finition</w:t>
      </w:r>
      <w:r w:rsidRPr="001F6BDC">
        <w:rPr>
          <w:rFonts w:ascii="Arial" w:eastAsia="Times New Roman" w:hAnsi="Arial" w:cs="Arial"/>
          <w:color w:val="000000" w:themeColor="text1"/>
          <w:sz w:val="18"/>
          <w:szCs w:val="18"/>
          <w:lang w:eastAsia="fr-FR"/>
        </w:rPr>
        <w:t>.</w:t>
      </w:r>
    </w:p>
    <w:p w:rsidR="00BC127D" w:rsidRDefault="00061B8D"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Appliquer ensuite la couche d’enduit de finition adéquat à l’aide d’une taloche en acier inoxydable. Lisser avec </w:t>
      </w:r>
      <w:r w:rsidR="00C12CCD">
        <w:rPr>
          <w:rFonts w:ascii="Arial" w:eastAsia="Times New Roman" w:hAnsi="Arial" w:cs="Arial"/>
          <w:color w:val="000000" w:themeColor="text1"/>
          <w:sz w:val="18"/>
          <w:szCs w:val="18"/>
          <w:lang w:eastAsia="fr-FR"/>
        </w:rPr>
        <w:t>une taloche adéquate</w:t>
      </w:r>
      <w:r>
        <w:rPr>
          <w:rFonts w:ascii="Arial" w:eastAsia="Times New Roman" w:hAnsi="Arial" w:cs="Arial"/>
          <w:color w:val="000000" w:themeColor="text1"/>
          <w:sz w:val="18"/>
          <w:szCs w:val="18"/>
          <w:lang w:eastAsia="fr-FR"/>
        </w:rPr>
        <w:t xml:space="preserve"> en acier inoxydable, si nécessaire poncer au papier de verre une fois l’enduit de finition sec.</w:t>
      </w:r>
    </w:p>
    <w:p w:rsidR="00061B8D" w:rsidRDefault="00061B8D" w:rsidP="00066F3A">
      <w:pPr>
        <w:spacing w:line="240" w:lineRule="auto"/>
        <w:rPr>
          <w:rFonts w:ascii="Arial" w:eastAsia="Times New Roman" w:hAnsi="Arial" w:cs="Arial"/>
          <w:color w:val="000000" w:themeColor="text1"/>
          <w:sz w:val="18"/>
          <w:szCs w:val="18"/>
          <w:lang w:eastAsia="fr-FR"/>
        </w:rPr>
      </w:pPr>
    </w:p>
    <w:p w:rsidR="00061B8D" w:rsidRPr="00FA228B" w:rsidRDefault="00061B8D" w:rsidP="00066F3A">
      <w:p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Application de l’enduit minéral de finition ininflammable :</w:t>
      </w:r>
    </w:p>
    <w:p w:rsidR="00061B8D" w:rsidRPr="00FA228B" w:rsidRDefault="00061B8D" w:rsidP="00061B8D">
      <w:pPr>
        <w:pStyle w:val="Paragraphedeliste"/>
        <w:numPr>
          <w:ilvl w:val="0"/>
          <w:numId w:val="2"/>
        </w:numPr>
        <w:spacing w:line="240" w:lineRule="auto"/>
        <w:rPr>
          <w:rFonts w:ascii="Arial" w:eastAsia="Times New Roman" w:hAnsi="Arial" w:cs="Arial"/>
          <w:b/>
          <w:color w:val="000000" w:themeColor="text1"/>
          <w:sz w:val="18"/>
          <w:szCs w:val="18"/>
          <w:lang w:eastAsia="fr-FR"/>
        </w:rPr>
      </w:pPr>
      <w:r w:rsidRPr="00FA228B">
        <w:rPr>
          <w:rFonts w:ascii="Arial" w:eastAsia="Times New Roman" w:hAnsi="Arial" w:cs="Arial"/>
          <w:b/>
          <w:color w:val="000000" w:themeColor="text1"/>
          <w:sz w:val="18"/>
          <w:szCs w:val="18"/>
          <w:lang w:eastAsia="fr-FR"/>
        </w:rPr>
        <w:t>Option :</w:t>
      </w:r>
    </w:p>
    <w:p w:rsidR="00061B8D" w:rsidRPr="00FA228B" w:rsidRDefault="00061B8D" w:rsidP="00061B8D">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w:t>
      </w:r>
      <w:r w:rsidR="00FA228B" w:rsidRPr="00FA228B">
        <w:rPr>
          <w:rFonts w:ascii="Arial" w:eastAsia="Times New Roman" w:hAnsi="Arial" w:cs="Arial"/>
          <w:color w:val="000000" w:themeColor="text1"/>
          <w:sz w:val="18"/>
          <w:szCs w:val="18"/>
          <w:lang w:eastAsia="fr-FR"/>
        </w:rPr>
        <w:t xml:space="preserve">minérale </w:t>
      </w:r>
      <w:r w:rsidRPr="00FA228B">
        <w:rPr>
          <w:rFonts w:ascii="Arial" w:eastAsia="Times New Roman" w:hAnsi="Arial" w:cs="Arial"/>
          <w:color w:val="000000" w:themeColor="text1"/>
          <w:sz w:val="18"/>
          <w:szCs w:val="18"/>
          <w:u w:val="single"/>
          <w:lang w:eastAsia="fr-FR"/>
        </w:rPr>
        <w:t>lisse</w:t>
      </w:r>
      <w:r w:rsidRPr="00FA228B">
        <w:rPr>
          <w:rFonts w:ascii="Arial" w:eastAsia="Times New Roman" w:hAnsi="Arial" w:cs="Arial"/>
          <w:color w:val="000000" w:themeColor="text1"/>
          <w:sz w:val="18"/>
          <w:szCs w:val="18"/>
          <w:lang w:eastAsia="fr-FR"/>
        </w:rPr>
        <w:t xml:space="preserve"> et ininflammable </w:t>
      </w:r>
      <w:r w:rsidRPr="00FA228B">
        <w:rPr>
          <w:rFonts w:ascii="Arial" w:hAnsi="Arial" w:cs="Arial"/>
          <w:sz w:val="18"/>
          <w:szCs w:val="18"/>
        </w:rPr>
        <w:t>(# PC®FINICH 0) : appliquer avec une épaisseur maximum de 2mm sur la couche minérale de fond (consommation : +/- 2kg/m² produit sec)</w:t>
      </w:r>
    </w:p>
    <w:p w:rsidR="00FA228B" w:rsidRPr="00FA228B" w:rsidRDefault="00FA228B" w:rsidP="00FA228B">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BC127D" w:rsidRPr="00FA228B" w:rsidRDefault="00061B8D" w:rsidP="00FA228B">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w:t>
      </w:r>
      <w:r w:rsidR="00FA228B" w:rsidRPr="00FA228B">
        <w:rPr>
          <w:rFonts w:ascii="Arial" w:eastAsia="Times New Roman" w:hAnsi="Arial" w:cs="Arial"/>
          <w:color w:val="000000" w:themeColor="text1"/>
          <w:sz w:val="18"/>
          <w:szCs w:val="18"/>
          <w:lang w:eastAsia="fr-FR"/>
        </w:rPr>
        <w:t xml:space="preserve">minérale </w:t>
      </w:r>
      <w:r w:rsidRPr="00FA228B">
        <w:rPr>
          <w:rFonts w:ascii="Arial" w:eastAsia="Times New Roman" w:hAnsi="Arial" w:cs="Arial"/>
          <w:color w:val="000000" w:themeColor="text1"/>
          <w:sz w:val="18"/>
          <w:szCs w:val="18"/>
          <w:u w:val="single"/>
          <w:lang w:eastAsia="fr-FR"/>
        </w:rPr>
        <w:t>semi</w:t>
      </w:r>
      <w:r w:rsidR="00FA228B" w:rsidRPr="00FA228B">
        <w:rPr>
          <w:rFonts w:ascii="Arial" w:eastAsia="Times New Roman" w:hAnsi="Arial" w:cs="Arial"/>
          <w:color w:val="000000" w:themeColor="text1"/>
          <w:sz w:val="18"/>
          <w:szCs w:val="18"/>
          <w:u w:val="single"/>
          <w:lang w:eastAsia="fr-FR"/>
        </w:rPr>
        <w:t>-</w:t>
      </w:r>
      <w:r w:rsidRPr="00FA228B">
        <w:rPr>
          <w:rFonts w:ascii="Arial" w:eastAsia="Times New Roman" w:hAnsi="Arial" w:cs="Arial"/>
          <w:color w:val="000000" w:themeColor="text1"/>
          <w:sz w:val="18"/>
          <w:szCs w:val="18"/>
          <w:u w:val="single"/>
          <w:lang w:eastAsia="fr-FR"/>
        </w:rPr>
        <w:t>rugueu</w:t>
      </w:r>
      <w:r w:rsidR="00FA228B" w:rsidRPr="00FA228B">
        <w:rPr>
          <w:rFonts w:ascii="Arial" w:eastAsia="Times New Roman" w:hAnsi="Arial" w:cs="Arial"/>
          <w:color w:val="000000" w:themeColor="text1"/>
          <w:sz w:val="18"/>
          <w:szCs w:val="18"/>
          <w:u w:val="single"/>
          <w:lang w:eastAsia="fr-FR"/>
        </w:rPr>
        <w:t>se</w:t>
      </w:r>
      <w:r w:rsidRPr="00FA228B">
        <w:rPr>
          <w:rFonts w:ascii="Arial" w:eastAsia="Times New Roman" w:hAnsi="Arial" w:cs="Arial"/>
          <w:color w:val="000000" w:themeColor="text1"/>
          <w:sz w:val="18"/>
          <w:szCs w:val="18"/>
          <w:lang w:eastAsia="fr-FR"/>
        </w:rPr>
        <w:t xml:space="preserve"> (grain 1mm) </w:t>
      </w:r>
      <w:r w:rsidR="00FA228B" w:rsidRPr="00FA228B">
        <w:rPr>
          <w:rFonts w:ascii="Arial" w:eastAsia="Times New Roman" w:hAnsi="Arial" w:cs="Arial"/>
          <w:color w:val="000000" w:themeColor="text1"/>
          <w:sz w:val="18"/>
          <w:szCs w:val="18"/>
          <w:lang w:eastAsia="fr-FR"/>
        </w:rPr>
        <w:t xml:space="preserve">et ininflammable </w:t>
      </w:r>
      <w:r w:rsidR="00FA228B" w:rsidRPr="00FA228B">
        <w:rPr>
          <w:rFonts w:ascii="Arial" w:hAnsi="Arial" w:cs="Arial"/>
          <w:sz w:val="18"/>
          <w:szCs w:val="18"/>
        </w:rPr>
        <w:t>(# PC®FINICH 1) : appliquer avec une épaisseur de +/- 1 mm sur la couche minérale de fond (consommation : +/- 1,9kg/m² produit sec)</w:t>
      </w:r>
    </w:p>
    <w:p w:rsidR="00FA228B" w:rsidRPr="00FA228B" w:rsidRDefault="00FA228B" w:rsidP="00FA228B">
      <w:pPr>
        <w:pStyle w:val="Paragraphedeliste"/>
        <w:numPr>
          <w:ilvl w:val="0"/>
          <w:numId w:val="2"/>
        </w:numPr>
        <w:spacing w:line="240" w:lineRule="auto"/>
        <w:rPr>
          <w:rFonts w:ascii="Arial" w:hAnsi="Arial" w:cs="Arial"/>
          <w:b/>
          <w:sz w:val="18"/>
          <w:szCs w:val="18"/>
        </w:rPr>
      </w:pPr>
      <w:r w:rsidRPr="00FA228B">
        <w:rPr>
          <w:rFonts w:ascii="Arial" w:hAnsi="Arial" w:cs="Arial"/>
          <w:b/>
          <w:sz w:val="18"/>
          <w:szCs w:val="18"/>
        </w:rPr>
        <w:t>Option :</w:t>
      </w:r>
    </w:p>
    <w:p w:rsidR="00FA228B" w:rsidRPr="00FA228B" w:rsidRDefault="00FA228B" w:rsidP="00FA228B">
      <w:pPr>
        <w:pStyle w:val="Paragraphedeliste"/>
        <w:spacing w:line="240" w:lineRule="auto"/>
        <w:rPr>
          <w:rFonts w:ascii="Arial" w:hAnsi="Arial" w:cs="Arial"/>
          <w:sz w:val="18"/>
          <w:szCs w:val="18"/>
        </w:rPr>
      </w:pPr>
      <w:r w:rsidRPr="00FA228B">
        <w:rPr>
          <w:rFonts w:ascii="Arial" w:eastAsia="Times New Roman" w:hAnsi="Arial" w:cs="Arial"/>
          <w:color w:val="000000" w:themeColor="text1"/>
          <w:sz w:val="18"/>
          <w:szCs w:val="18"/>
          <w:lang w:eastAsia="fr-FR"/>
        </w:rPr>
        <w:t xml:space="preserve">Couche de finition minérale </w:t>
      </w:r>
      <w:r w:rsidRPr="00FA228B">
        <w:rPr>
          <w:rFonts w:ascii="Arial" w:eastAsia="Times New Roman" w:hAnsi="Arial" w:cs="Arial"/>
          <w:color w:val="000000" w:themeColor="text1"/>
          <w:sz w:val="18"/>
          <w:szCs w:val="18"/>
          <w:u w:val="single"/>
          <w:lang w:eastAsia="fr-FR"/>
        </w:rPr>
        <w:t>rugueuse</w:t>
      </w:r>
      <w:r w:rsidRPr="00FA228B">
        <w:rPr>
          <w:rFonts w:ascii="Arial" w:eastAsia="Times New Roman" w:hAnsi="Arial" w:cs="Arial"/>
          <w:color w:val="000000" w:themeColor="text1"/>
          <w:sz w:val="18"/>
          <w:szCs w:val="18"/>
          <w:lang w:eastAsia="fr-FR"/>
        </w:rPr>
        <w:t xml:space="preserve"> (grain 2.5mm) et ininflammable </w:t>
      </w:r>
      <w:r w:rsidRPr="00FA228B">
        <w:rPr>
          <w:rFonts w:ascii="Arial" w:hAnsi="Arial" w:cs="Arial"/>
          <w:sz w:val="18"/>
          <w:szCs w:val="18"/>
        </w:rPr>
        <w:t>(# PC®FINICH 2,) : appliquer avec une épaisseur de +/- 2,5 mm sur la couche minérale de fond (consommation : +/-4kg/m² produit sec)</w:t>
      </w:r>
    </w:p>
    <w:p w:rsidR="00FA228B" w:rsidRPr="00FA228B" w:rsidRDefault="00FA228B" w:rsidP="00FA228B">
      <w:pPr>
        <w:pStyle w:val="Paragraphedeliste"/>
        <w:spacing w:line="240" w:lineRule="auto"/>
        <w:rPr>
          <w:rFonts w:cs="Arial"/>
          <w:sz w:val="18"/>
          <w:szCs w:val="18"/>
        </w:rPr>
      </w:pPr>
    </w:p>
    <w:p w:rsidR="00431E66" w:rsidRPr="00B53444"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431E66" w:rsidRPr="003B75B5" w:rsidRDefault="00431E66" w:rsidP="003B75B5">
      <w:pPr>
        <w:spacing w:line="240" w:lineRule="auto"/>
        <w:rPr>
          <w:rFonts w:ascii="Arial" w:eastAsia="Times New Roman" w:hAnsi="Arial" w:cs="Arial"/>
          <w:b/>
          <w:color w:val="FF0000"/>
          <w:sz w:val="18"/>
          <w:szCs w:val="18"/>
          <w:lang w:eastAsia="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8A585B" w:rsidRP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C12CCD">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C12CCD">
        <w:rPr>
          <w:rFonts w:ascii="Arial" w:hAnsi="Arial" w:cs="Arial"/>
          <w:sz w:val="16"/>
          <w:lang w:val="fr-FR"/>
        </w:rPr>
        <w:t xml:space="preserve"> </w:t>
      </w:r>
      <w:r>
        <w:rPr>
          <w:rFonts w:ascii="Arial" w:hAnsi="Arial" w:cs="Arial"/>
          <w:sz w:val="16"/>
          <w:lang w:val="fr-FR"/>
        </w:rPr>
        <w:t xml:space="preserve">sont disponibles sur notre site </w:t>
      </w:r>
      <w:r w:rsidR="00C12CCD">
        <w:rPr>
          <w:rFonts w:ascii="Arial" w:hAnsi="Arial" w:cs="Arial"/>
          <w:sz w:val="16"/>
          <w:lang w:val="fr-FR"/>
        </w:rPr>
        <w:t>internet :</w:t>
      </w:r>
      <w:r>
        <w:rPr>
          <w:rFonts w:ascii="Arial" w:hAnsi="Arial" w:cs="Arial"/>
          <w:sz w:val="16"/>
          <w:lang w:val="fr-FR"/>
        </w:rPr>
        <w:t xml:space="preserve"> www.foamglas.be, www.foamglas.lu</w:t>
      </w:r>
    </w:p>
    <w:sectPr w:rsidR="008A585B" w:rsidRP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433" w:rsidRDefault="00D20433" w:rsidP="008A585B">
      <w:pPr>
        <w:spacing w:line="240" w:lineRule="auto"/>
      </w:pPr>
      <w:r>
        <w:separator/>
      </w:r>
    </w:p>
  </w:endnote>
  <w:endnote w:type="continuationSeparator" w:id="0">
    <w:p w:rsidR="00D20433" w:rsidRDefault="00D20433"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433" w:rsidRDefault="00D20433" w:rsidP="008A585B">
      <w:pPr>
        <w:spacing w:line="240" w:lineRule="auto"/>
      </w:pPr>
      <w:r>
        <w:separator/>
      </w:r>
    </w:p>
  </w:footnote>
  <w:footnote w:type="continuationSeparator" w:id="0">
    <w:p w:rsidR="00D20433" w:rsidRDefault="00D20433"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147F"/>
    <w:rsid w:val="00003006"/>
    <w:rsid w:val="00012B11"/>
    <w:rsid w:val="00013A84"/>
    <w:rsid w:val="0002192C"/>
    <w:rsid w:val="00061B8D"/>
    <w:rsid w:val="00066F3A"/>
    <w:rsid w:val="0007730B"/>
    <w:rsid w:val="00077D9F"/>
    <w:rsid w:val="00083B0B"/>
    <w:rsid w:val="000A1DBF"/>
    <w:rsid w:val="000B64E3"/>
    <w:rsid w:val="000F4FC0"/>
    <w:rsid w:val="00110560"/>
    <w:rsid w:val="00110D57"/>
    <w:rsid w:val="0019138D"/>
    <w:rsid w:val="001A2C2B"/>
    <w:rsid w:val="001C1517"/>
    <w:rsid w:val="001D38A5"/>
    <w:rsid w:val="001E3FC1"/>
    <w:rsid w:val="0022003B"/>
    <w:rsid w:val="002205B1"/>
    <w:rsid w:val="00264676"/>
    <w:rsid w:val="00277DBD"/>
    <w:rsid w:val="002834E6"/>
    <w:rsid w:val="00292AC2"/>
    <w:rsid w:val="002A26D8"/>
    <w:rsid w:val="002A688C"/>
    <w:rsid w:val="002C06D1"/>
    <w:rsid w:val="003049D2"/>
    <w:rsid w:val="00306A95"/>
    <w:rsid w:val="003265DB"/>
    <w:rsid w:val="00346341"/>
    <w:rsid w:val="003879C9"/>
    <w:rsid w:val="003A1374"/>
    <w:rsid w:val="003A19E9"/>
    <w:rsid w:val="003A33EF"/>
    <w:rsid w:val="003B75B5"/>
    <w:rsid w:val="003C06BD"/>
    <w:rsid w:val="00411AAD"/>
    <w:rsid w:val="00425A27"/>
    <w:rsid w:val="00431E66"/>
    <w:rsid w:val="00465496"/>
    <w:rsid w:val="0049780F"/>
    <w:rsid w:val="004D12DC"/>
    <w:rsid w:val="004D341A"/>
    <w:rsid w:val="004E1DF3"/>
    <w:rsid w:val="004F7A6E"/>
    <w:rsid w:val="0052185F"/>
    <w:rsid w:val="005547A3"/>
    <w:rsid w:val="0055620B"/>
    <w:rsid w:val="00557C38"/>
    <w:rsid w:val="00560EE7"/>
    <w:rsid w:val="00565C84"/>
    <w:rsid w:val="005A37BC"/>
    <w:rsid w:val="005B6799"/>
    <w:rsid w:val="005E2C1A"/>
    <w:rsid w:val="005F1B20"/>
    <w:rsid w:val="006341E1"/>
    <w:rsid w:val="00637051"/>
    <w:rsid w:val="00680F8F"/>
    <w:rsid w:val="00683687"/>
    <w:rsid w:val="00693DBB"/>
    <w:rsid w:val="006A351C"/>
    <w:rsid w:val="006B24B7"/>
    <w:rsid w:val="006B6FAC"/>
    <w:rsid w:val="006F5AF0"/>
    <w:rsid w:val="00715031"/>
    <w:rsid w:val="007178B2"/>
    <w:rsid w:val="007433B6"/>
    <w:rsid w:val="00745D59"/>
    <w:rsid w:val="00785998"/>
    <w:rsid w:val="00786F11"/>
    <w:rsid w:val="007B5792"/>
    <w:rsid w:val="007C529F"/>
    <w:rsid w:val="007F6724"/>
    <w:rsid w:val="00834D29"/>
    <w:rsid w:val="00846078"/>
    <w:rsid w:val="00853ECD"/>
    <w:rsid w:val="008A585B"/>
    <w:rsid w:val="008B17E8"/>
    <w:rsid w:val="008E6724"/>
    <w:rsid w:val="00904E2E"/>
    <w:rsid w:val="009052EF"/>
    <w:rsid w:val="009151BD"/>
    <w:rsid w:val="00917607"/>
    <w:rsid w:val="00975809"/>
    <w:rsid w:val="00991611"/>
    <w:rsid w:val="009C303F"/>
    <w:rsid w:val="009D4BF5"/>
    <w:rsid w:val="009F36AB"/>
    <w:rsid w:val="00A11321"/>
    <w:rsid w:val="00A11371"/>
    <w:rsid w:val="00A3605E"/>
    <w:rsid w:val="00A43640"/>
    <w:rsid w:val="00A4611A"/>
    <w:rsid w:val="00A52CF4"/>
    <w:rsid w:val="00A7242A"/>
    <w:rsid w:val="00A85EED"/>
    <w:rsid w:val="00AA769D"/>
    <w:rsid w:val="00AB7518"/>
    <w:rsid w:val="00AD35CA"/>
    <w:rsid w:val="00AE2F15"/>
    <w:rsid w:val="00AF15B3"/>
    <w:rsid w:val="00B22BD1"/>
    <w:rsid w:val="00B256C4"/>
    <w:rsid w:val="00B26996"/>
    <w:rsid w:val="00B31D23"/>
    <w:rsid w:val="00B526D4"/>
    <w:rsid w:val="00B53444"/>
    <w:rsid w:val="00B619DB"/>
    <w:rsid w:val="00B96225"/>
    <w:rsid w:val="00BB09D2"/>
    <w:rsid w:val="00BB64F1"/>
    <w:rsid w:val="00BC127D"/>
    <w:rsid w:val="00BC7D99"/>
    <w:rsid w:val="00BE3852"/>
    <w:rsid w:val="00C12CCD"/>
    <w:rsid w:val="00C5478E"/>
    <w:rsid w:val="00C563D5"/>
    <w:rsid w:val="00C602FB"/>
    <w:rsid w:val="00CA2EB1"/>
    <w:rsid w:val="00CD0503"/>
    <w:rsid w:val="00CE06CE"/>
    <w:rsid w:val="00CE3717"/>
    <w:rsid w:val="00D20433"/>
    <w:rsid w:val="00D95CA9"/>
    <w:rsid w:val="00DA0E51"/>
    <w:rsid w:val="00DE488B"/>
    <w:rsid w:val="00DF22C1"/>
    <w:rsid w:val="00E12809"/>
    <w:rsid w:val="00E41702"/>
    <w:rsid w:val="00E469CB"/>
    <w:rsid w:val="00E963B2"/>
    <w:rsid w:val="00EC6C10"/>
    <w:rsid w:val="00EC7492"/>
    <w:rsid w:val="00F03B69"/>
    <w:rsid w:val="00F16FAC"/>
    <w:rsid w:val="00F50494"/>
    <w:rsid w:val="00F63270"/>
    <w:rsid w:val="00F76CC4"/>
    <w:rsid w:val="00F808DA"/>
    <w:rsid w:val="00F81213"/>
    <w:rsid w:val="00F96B08"/>
    <w:rsid w:val="00F975BA"/>
    <w:rsid w:val="00FA228B"/>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DDAB7E-C845-471E-A9E5-6EC768B7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1</Pages>
  <Words>1253</Words>
  <Characters>6892</Characters>
  <Application>Microsoft Office Word</Application>
  <DocSecurity>0</DocSecurity>
  <Lines>57</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12</cp:revision>
  <cp:lastPrinted>2019-02-07T15:21:00Z</cp:lastPrinted>
  <dcterms:created xsi:type="dcterms:W3CDTF">2017-05-12T10:26:00Z</dcterms:created>
  <dcterms:modified xsi:type="dcterms:W3CDTF">2019-02-08T06:18:00Z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243fe859-aae9-4796-b458-92e255d10ee8</vt:lpwstr>
  </property>
  <property fmtid="{D5CDD505-2E9C-101B-9397-08002B2CF9AE}" pid="3" name="TitusCorpClassification">
    <vt:lpwstr>Not Applicable</vt:lpwstr>
  </property>
</Properties>
</file>